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新疆喀什地区巴楚县夏马勒国有林管理局2019年度部门决算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负责林区内一切工作，包括：公益林管护、森林抚育、防风治沙、森林防火等工作。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新疆喀什地区巴楚县夏马勒国有林管理局2</w:t>
      </w:r>
      <w:r>
        <w:rPr>
          <w:rFonts w:ascii="仿宋_GB2312" w:eastAsia="仿宋_GB2312"/>
          <w:sz w:val="32"/>
          <w:szCs w:val="32"/>
        </w:rPr>
        <w:t>019</w:t>
      </w:r>
      <w:r>
        <w:rPr>
          <w:rFonts w:hint="eastAsia" w:ascii="仿宋_GB2312" w:eastAsia="仿宋_GB2312"/>
          <w:sz w:val="32"/>
          <w:szCs w:val="32"/>
        </w:rPr>
        <w:t>年度，实有人数42人，其中：在职人员42人，离休人员0人，退休人员0人。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从部门决算单位构成看，新疆喀什地区巴楚县夏马勒国有林管理局部门决算包括：新疆喀什地区巴楚县夏马勒国有林管理局决算。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2019年度本年收入2,115.72万元，与上年相比，增加809.77万元，增长62.01%，主要原因是：</w:t>
      </w:r>
      <w:r>
        <w:rPr>
          <w:rFonts w:hint="eastAsia" w:ascii="仿宋_GB2312" w:eastAsia="仿宋_GB2312"/>
          <w:color w:val="000000" w:themeColor="text1"/>
          <w:sz w:val="32"/>
          <w:szCs w:val="32"/>
          <w14:textFill>
            <w14:solidFill>
              <w14:schemeClr w14:val="tx1"/>
            </w14:solidFill>
          </w14:textFill>
        </w:rPr>
        <w:t>增加了年初结转收入及管护站电力引入项目。</w:t>
      </w:r>
      <w:r>
        <w:rPr>
          <w:rFonts w:hint="eastAsia" w:ascii="仿宋_GB2312" w:eastAsia="仿宋_GB2312"/>
          <w:sz w:val="32"/>
          <w:szCs w:val="32"/>
        </w:rPr>
        <w:t>本年支出2,584.97万元，与上年相比，增加1,748.27万元，增长208.95%，主要原因是：</w:t>
      </w:r>
      <w:r>
        <w:rPr>
          <w:rFonts w:hint="eastAsia" w:ascii="仿宋_GB2312" w:eastAsia="仿宋_GB2312"/>
          <w:color w:val="000000" w:themeColor="text1"/>
          <w:sz w:val="32"/>
          <w:szCs w:val="32"/>
          <w14:textFill>
            <w14:solidFill>
              <w14:schemeClr w14:val="tx1"/>
            </w14:solidFill>
          </w14:textFill>
        </w:rPr>
        <w:t>增加了年初结转收入及管护站电力引入项目。</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年度本年收入2,115.72万元，其中：财政拨款收入2,115.72万元，占100%；上级补助收入0万元，占0%；事业收入0万元，占0%；经营收入0万元，占0%；附属单位上缴收入0万元，占0%；其他收入0万元，占0%。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2019年度本年支出2,584.97万元，其中：基本支出481.94万元，占18.64%；项目支出2,103.03万元，占81.36%；上缴上级支出0万元，占0%；经营支出0万元，占0%；对附属单位补助支出0万元，占0%。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2,115.72万元，与上年相比，增加809.77万元，增长62.01%，主要原因是：增加了年初结转收入及管护站电力引入项目。财政拨款支出2,584.97万元，与上年相比，增加1,748.27万元，增长208.95%，主要原因是：</w:t>
      </w:r>
      <w:r>
        <w:rPr>
          <w:rFonts w:ascii="仿宋_GB2312" w:eastAsia="仿宋_GB2312"/>
          <w:sz w:val="32"/>
          <w:szCs w:val="32"/>
        </w:rPr>
        <w:t>增加了年初结转收入及管护站电力引入项目。</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1,980.51</w:t>
      </w:r>
      <w:r>
        <w:rPr>
          <w:rFonts w:hint="eastAsia" w:ascii="仿宋_GB2312" w:eastAsia="仿宋_GB2312"/>
          <w:sz w:val="32"/>
          <w:szCs w:val="32"/>
        </w:rPr>
        <w:t>万元，决算数2,115.72万元</w:t>
      </w:r>
      <w:r>
        <w:rPr>
          <w:rFonts w:ascii="仿宋_GB2312" w:eastAsia="仿宋_GB2312"/>
          <w:color w:val="000000" w:themeColor="text1"/>
          <w:sz w:val="32"/>
          <w:szCs w:val="32"/>
          <w14:textFill>
            <w14:solidFill>
              <w14:schemeClr w14:val="tx1"/>
            </w14:solidFill>
          </w14:textFill>
        </w:rPr>
        <w:t>，预决算差异率6.83%，主要原因是：增加了年初结转收入及管护站电力引入项目。</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1,980.51</w:t>
      </w:r>
      <w:r>
        <w:rPr>
          <w:rFonts w:hint="eastAsia" w:ascii="仿宋_GB2312" w:eastAsia="仿宋_GB2312"/>
          <w:sz w:val="32"/>
          <w:szCs w:val="32"/>
        </w:rPr>
        <w:t>万元，决算数2,584.97万元</w:t>
      </w:r>
      <w:r>
        <w:rPr>
          <w:rFonts w:ascii="仿宋_GB2312" w:eastAsia="仿宋_GB2312"/>
          <w:color w:val="000000" w:themeColor="text1"/>
          <w:sz w:val="32"/>
          <w:szCs w:val="32"/>
          <w14:textFill>
            <w14:solidFill>
              <w14:schemeClr w14:val="tx1"/>
            </w14:solidFill>
          </w14:textFill>
        </w:rPr>
        <w:t>，预决算差异率30.52%，主要原因是：增加了年初结转收入及管护站电力引入项目。</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年度一般公共预算财政拨款支出2,584.97万元。按功能分类科目项级科目公开，其中：</w:t>
      </w:r>
    </w:p>
    <w:p>
      <w:pPr>
        <w:rPr>
          <w:rFonts w:ascii="仿宋_GB2312" w:eastAsia="仿宋_GB2312"/>
          <w:sz w:val="32"/>
          <w:szCs w:val="32"/>
        </w:rPr>
      </w:pPr>
      <w:r>
        <w:rPr>
          <w:rFonts w:ascii="仿宋_GB2312" w:eastAsia="仿宋_GB2312"/>
          <w:sz w:val="32"/>
          <w:szCs w:val="32"/>
        </w:rPr>
        <w:t xml:space="preserve">   2013101行政运行支出0.24万元；</w:t>
      </w:r>
      <w:r>
        <w:rPr>
          <w:rFonts w:ascii="仿宋_GB2312" w:eastAsia="仿宋_GB2312"/>
          <w:sz w:val="32"/>
          <w:szCs w:val="32"/>
        </w:rPr>
        <w:br w:type="textWrapping"/>
      </w:r>
      <w:r>
        <w:rPr>
          <w:rFonts w:ascii="仿宋_GB2312" w:eastAsia="仿宋_GB2312"/>
          <w:sz w:val="32"/>
          <w:szCs w:val="32"/>
        </w:rPr>
        <w:t xml:space="preserve">   2013299其他组织事务支出15.36万元；</w:t>
      </w:r>
      <w:r>
        <w:rPr>
          <w:rFonts w:ascii="仿宋_GB2312" w:eastAsia="仿宋_GB2312"/>
          <w:sz w:val="32"/>
          <w:szCs w:val="32"/>
        </w:rPr>
        <w:br w:type="textWrapping"/>
      </w:r>
      <w:r>
        <w:rPr>
          <w:rFonts w:ascii="仿宋_GB2312" w:eastAsia="仿宋_GB2312"/>
          <w:sz w:val="32"/>
          <w:szCs w:val="32"/>
        </w:rPr>
        <w:t xml:space="preserve">   2070199其他文化和旅游支出2.95万元；</w:t>
      </w:r>
      <w:r>
        <w:rPr>
          <w:rFonts w:ascii="仿宋_GB2312" w:eastAsia="仿宋_GB2312"/>
          <w:sz w:val="32"/>
          <w:szCs w:val="32"/>
        </w:rPr>
        <w:br w:type="textWrapping"/>
      </w:r>
      <w:r>
        <w:rPr>
          <w:rFonts w:ascii="仿宋_GB2312" w:eastAsia="仿宋_GB2312"/>
          <w:sz w:val="32"/>
          <w:szCs w:val="32"/>
        </w:rPr>
        <w:t xml:space="preserve">   2080505机关事业单位基本养老保险缴费支出44.71万元；</w:t>
      </w:r>
      <w:r>
        <w:rPr>
          <w:rFonts w:ascii="仿宋_GB2312" w:eastAsia="仿宋_GB2312"/>
          <w:sz w:val="32"/>
          <w:szCs w:val="32"/>
        </w:rPr>
        <w:br w:type="textWrapping"/>
      </w:r>
      <w:r>
        <w:rPr>
          <w:rFonts w:ascii="仿宋_GB2312" w:eastAsia="仿宋_GB2312"/>
          <w:sz w:val="32"/>
          <w:szCs w:val="32"/>
        </w:rPr>
        <w:t xml:space="preserve">   2080506机关事业单位职业年金缴费支出2.29万元；</w:t>
      </w:r>
      <w:r>
        <w:rPr>
          <w:rFonts w:ascii="仿宋_GB2312" w:eastAsia="仿宋_GB2312"/>
          <w:sz w:val="32"/>
          <w:szCs w:val="32"/>
        </w:rPr>
        <w:br w:type="textWrapping"/>
      </w:r>
      <w:r>
        <w:rPr>
          <w:rFonts w:ascii="仿宋_GB2312" w:eastAsia="仿宋_GB2312"/>
          <w:sz w:val="32"/>
          <w:szCs w:val="32"/>
        </w:rPr>
        <w:t xml:space="preserve">   2100717计划生育服务支出0.90万元；</w:t>
      </w:r>
      <w:r>
        <w:rPr>
          <w:rFonts w:ascii="仿宋_GB2312" w:eastAsia="仿宋_GB2312"/>
          <w:sz w:val="32"/>
          <w:szCs w:val="32"/>
        </w:rPr>
        <w:br w:type="textWrapping"/>
      </w:r>
      <w:r>
        <w:rPr>
          <w:rFonts w:ascii="仿宋_GB2312" w:eastAsia="仿宋_GB2312"/>
          <w:sz w:val="32"/>
          <w:szCs w:val="32"/>
        </w:rPr>
        <w:t xml:space="preserve">   2101102事业单位医疗支出32.48万元；</w:t>
      </w:r>
      <w:r>
        <w:rPr>
          <w:rFonts w:ascii="仿宋_GB2312" w:eastAsia="仿宋_GB2312"/>
          <w:sz w:val="32"/>
          <w:szCs w:val="32"/>
        </w:rPr>
        <w:br w:type="textWrapping"/>
      </w:r>
      <w:r>
        <w:rPr>
          <w:rFonts w:ascii="仿宋_GB2312" w:eastAsia="仿宋_GB2312"/>
          <w:sz w:val="32"/>
          <w:szCs w:val="32"/>
        </w:rPr>
        <w:t xml:space="preserve">   2130204事业机构支出368.99万元；</w:t>
      </w:r>
      <w:r>
        <w:rPr>
          <w:rFonts w:ascii="仿宋_GB2312" w:eastAsia="仿宋_GB2312"/>
          <w:sz w:val="32"/>
          <w:szCs w:val="32"/>
        </w:rPr>
        <w:br w:type="textWrapping"/>
      </w:r>
      <w:r>
        <w:rPr>
          <w:rFonts w:ascii="仿宋_GB2312" w:eastAsia="仿宋_GB2312"/>
          <w:sz w:val="32"/>
          <w:szCs w:val="32"/>
        </w:rPr>
        <w:t xml:space="preserve">   2130209森林生态效益补偿支出1,854.82万元；</w:t>
      </w:r>
      <w:r>
        <w:rPr>
          <w:rFonts w:ascii="仿宋_GB2312" w:eastAsia="仿宋_GB2312"/>
          <w:sz w:val="32"/>
          <w:szCs w:val="32"/>
        </w:rPr>
        <w:br w:type="textWrapping"/>
      </w:r>
      <w:r>
        <w:rPr>
          <w:rFonts w:ascii="仿宋_GB2312" w:eastAsia="仿宋_GB2312"/>
          <w:sz w:val="32"/>
          <w:szCs w:val="32"/>
        </w:rPr>
        <w:t xml:space="preserve">   2130504农村基础设施建设支出121万元；</w:t>
      </w:r>
      <w:r>
        <w:rPr>
          <w:rFonts w:ascii="仿宋_GB2312" w:eastAsia="仿宋_GB2312"/>
          <w:sz w:val="32"/>
          <w:szCs w:val="32"/>
        </w:rPr>
        <w:br w:type="textWrapping"/>
      </w:r>
      <w:r>
        <w:rPr>
          <w:rFonts w:ascii="仿宋_GB2312" w:eastAsia="仿宋_GB2312"/>
          <w:sz w:val="32"/>
          <w:szCs w:val="32"/>
        </w:rPr>
        <w:t xml:space="preserve">   2130505生产发展支出108万元；</w:t>
      </w:r>
      <w:r>
        <w:rPr>
          <w:rFonts w:ascii="仿宋_GB2312" w:eastAsia="仿宋_GB2312"/>
          <w:sz w:val="32"/>
          <w:szCs w:val="32"/>
        </w:rPr>
        <w:br w:type="textWrapping"/>
      </w:r>
      <w:r>
        <w:rPr>
          <w:rFonts w:ascii="仿宋_GB2312" w:eastAsia="仿宋_GB2312"/>
          <w:sz w:val="32"/>
          <w:szCs w:val="32"/>
        </w:rPr>
        <w:t xml:space="preserve">   2210201住房公积金支出33.23万元。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年度一般公共预算财政拨款基本支出481.94万元，其中：</w:t>
      </w:r>
    </w:p>
    <w:p>
      <w:pPr>
        <w:ind w:firstLine="640" w:firstLineChars="200"/>
        <w:rPr>
          <w:rFonts w:ascii="仿宋_GB2312" w:eastAsia="仿宋_GB2312"/>
          <w:sz w:val="32"/>
          <w:szCs w:val="32"/>
        </w:rPr>
      </w:pPr>
      <w:r>
        <w:rPr>
          <w:rFonts w:hint="eastAsia" w:ascii="仿宋_GB2312" w:eastAsia="仿宋_GB2312"/>
          <w:sz w:val="32"/>
          <w:szCs w:val="32"/>
        </w:rPr>
        <w:t>人员经费462.60万元，包括：基本工资、津贴补贴、奖金、绩效工资、机关事业单位基本养老保险缴费、职业年金缴费、职工基本医疗保险缴费、其他社会保障缴费、住房公积金、</w:t>
      </w:r>
      <w:r>
        <w:rPr>
          <w:rFonts w:hint="eastAsia" w:ascii="仿宋_GB2312" w:eastAsia="仿宋_GB2312"/>
          <w:color w:val="auto"/>
          <w:sz w:val="32"/>
          <w:szCs w:val="32"/>
          <w:lang w:eastAsia="zh-CN"/>
        </w:rPr>
        <w:t>对个人和家庭的补助、</w:t>
      </w:r>
      <w:bookmarkStart w:id="54" w:name="_GoBack"/>
      <w:bookmarkEnd w:id="54"/>
      <w:r>
        <w:rPr>
          <w:rFonts w:hint="eastAsia" w:ascii="仿宋_GB2312" w:eastAsia="仿宋_GB2312"/>
          <w:sz w:val="32"/>
          <w:szCs w:val="32"/>
        </w:rPr>
        <w:t>退休费、抚恤金、生活补助。</w:t>
      </w:r>
    </w:p>
    <w:p>
      <w:pPr>
        <w:ind w:firstLine="640" w:firstLineChars="200"/>
        <w:rPr>
          <w:rFonts w:ascii="仿宋_GB2312" w:eastAsia="仿宋_GB2312"/>
          <w:sz w:val="32"/>
          <w:szCs w:val="32"/>
        </w:rPr>
      </w:pPr>
      <w:r>
        <w:rPr>
          <w:rFonts w:hint="eastAsia" w:ascii="仿宋_GB2312" w:eastAsia="仿宋_GB2312"/>
          <w:sz w:val="32"/>
          <w:szCs w:val="32"/>
        </w:rPr>
        <w:t>公用经费19.34万元，包括：办公费、取暖费、维修（护）费、公务用车运行维护费。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2.98万元，比上年减少0.02万元，降低0.67%，主要原因是严格压缩经费。其中，因公出国（境）费支出0万元，占0%，比上年增加0万元，增长0%，主要原因是无此项内容；公务用车购置及运行维护费支出2.98万元，占100%，比上年减少0.02万元，降低0.67%，主要原因是严格压缩经费；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公务用车购置及运行维护费2.98万元，其中，公务用车购置费0万元，公务用车运行维护费2.98万元。公务用车运行维护费开支内容包括燃油费、车辆维护费。公务用车购置数0辆，公务用车保有量2辆。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2.98</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，预决算差异率-0.67%，主要原因是：严格压缩经费。</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3</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2.98</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，预决算差异率-0.67%，主要原因是：严格压缩经费；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lang w:val="en-US" w:eastAsia="zh-CN"/>
          <w14:textFill>
            <w14:solidFill>
              <w14:schemeClr w14:val="tx1"/>
            </w14:solidFill>
          </w14:textFill>
        </w:rPr>
        <w:t>2019年度</w:t>
      </w:r>
      <w:r>
        <w:rPr>
          <w:rFonts w:hint="eastAsia" w:ascii="仿宋_GB2312" w:eastAsia="仿宋_GB2312"/>
          <w:color w:val="000000" w:themeColor="text1"/>
          <w:sz w:val="32"/>
          <w:szCs w:val="32"/>
          <w14:textFill>
            <w14:solidFill>
              <w14:schemeClr w14:val="tx1"/>
            </w14:solidFill>
          </w14:textFill>
        </w:rPr>
        <w:t>新疆喀什地区巴楚县夏马勒国有林管理局日常公用经费19.34万元，比上年增加1.74万元，增长9.89%，主要原因是日常公用经费商品和服务支出降低。</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年度政府采购支出总额211.06万元，其中：政府采购货物支出207.12万元、政府采购工程支出0万元、政府采购服务支出3.94万元。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授予中小企业合同金额211.06万元，占政府采购支出总额的100%，其中：授予小微企业合同金额211.06万元，占政府采购支出总额的100%。</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w:t>
      </w:r>
      <w:r>
        <w:rPr>
          <w:rFonts w:ascii="仿宋_GB2312" w:eastAsia="仿宋_GB2312"/>
          <w:sz w:val="32"/>
          <w:szCs w:val="32"/>
        </w:rPr>
        <w:t>2019</w:t>
      </w:r>
      <w:r>
        <w:rPr>
          <w:rFonts w:hint="eastAsia" w:ascii="仿宋_GB2312" w:eastAsia="仿宋_GB2312"/>
          <w:sz w:val="32"/>
          <w:szCs w:val="32"/>
        </w:rPr>
        <w:t>年12月31日，单位共有房屋2,623（平方米），价值145.69万元。车辆2辆，价值28.78万元，其中：副部（省）级及以上领导用车0辆、主要领导干部用车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辆、执法执勤用车0辆、特种专业技术用车0辆、离退休干部用车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辆、其他用车</w:t>
      </w:r>
      <w:r>
        <w:rPr>
          <w:rFonts w:ascii="仿宋_GB2312" w:eastAsia="仿宋_GB2312"/>
          <w:color w:val="000000" w:themeColor="text1"/>
          <w:sz w:val="32"/>
          <w:szCs w:val="32"/>
          <w14:textFill>
            <w14:solidFill>
              <w14:schemeClr w14:val="tx1"/>
            </w14:solidFill>
          </w14:textFill>
        </w:rPr>
        <w:t>2</w:t>
      </w:r>
      <w:r>
        <w:rPr>
          <w:rFonts w:hint="eastAsia" w:ascii="仿宋_GB2312" w:eastAsia="仿宋_GB2312"/>
          <w:sz w:val="32"/>
          <w:szCs w:val="32"/>
        </w:rPr>
        <w:t>辆，其他用车主要是：</w:t>
      </w:r>
      <w:r>
        <w:rPr>
          <w:rFonts w:ascii="仿宋_GB2312" w:eastAsia="仿宋_GB2312"/>
          <w:color w:val="000000" w:themeColor="text1"/>
          <w:sz w:val="32"/>
          <w:szCs w:val="32"/>
          <w14:textFill>
            <w14:solidFill>
              <w14:schemeClr w14:val="tx1"/>
            </w14:solidFill>
          </w14:textFill>
        </w:rPr>
        <w:t>日常公务用车；</w:t>
      </w:r>
      <w:r>
        <w:rPr>
          <w:rFonts w:hint="eastAsia" w:ascii="仿宋_GB2312" w:eastAsia="仿宋_GB2312"/>
          <w:sz w:val="32"/>
          <w:szCs w:val="32"/>
        </w:rPr>
        <w:t>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w:t>
      </w:r>
      <w:r>
        <w:rPr>
          <w:rFonts w:hint="eastAsia" w:ascii="仿宋_GB2312" w:eastAsia="仿宋_GB2312"/>
          <w:sz w:val="32"/>
          <w:szCs w:val="32"/>
          <w:lang w:val="en-US" w:eastAsia="zh-CN"/>
        </w:rPr>
        <w:t>1</w:t>
      </w:r>
      <w:r>
        <w:rPr>
          <w:rFonts w:hint="eastAsia" w:ascii="仿宋_GB2312" w:eastAsia="仿宋_GB2312"/>
          <w:sz w:val="32"/>
          <w:szCs w:val="32"/>
        </w:rPr>
        <w:t>个，共涉及资金</w:t>
      </w:r>
      <w:r>
        <w:rPr>
          <w:rFonts w:hint="eastAsia" w:ascii="仿宋_GB2312" w:eastAsia="仿宋_GB2312"/>
          <w:sz w:val="32"/>
          <w:szCs w:val="32"/>
          <w:lang w:val="en-US" w:eastAsia="zh-CN"/>
        </w:rPr>
        <w:t>232.2</w:t>
      </w:r>
      <w:r>
        <w:rPr>
          <w:rFonts w:hint="eastAsia" w:ascii="仿宋_GB2312" w:eastAsia="仿宋_GB2312"/>
          <w:sz w:val="32"/>
          <w:szCs w:val="32"/>
        </w:rPr>
        <w:t>万元。预算绩效管理取得的成效：</w:t>
      </w:r>
      <w:r>
        <w:rPr>
          <w:rFonts w:hint="eastAsia" w:ascii="仿宋_GB2312" w:eastAsia="仿宋_GB2312"/>
          <w:sz w:val="32"/>
          <w:szCs w:val="32"/>
          <w:highlight w:val="none"/>
        </w:rPr>
        <w:t>一是产出指标评价：</w:t>
      </w:r>
      <w:r>
        <w:rPr>
          <w:rFonts w:hint="eastAsia" w:ascii="仿宋_GB2312" w:eastAsia="仿宋_GB2312"/>
          <w:sz w:val="32"/>
          <w:szCs w:val="32"/>
          <w:highlight w:val="none"/>
          <w:lang w:val="en-US" w:eastAsia="zh-CN"/>
        </w:rPr>
        <w:t>为夏马勒国有林管理局8个管护站引入10kv电力，架设导线18km,安装变压器7台，电力引入管护站工程单价29万元/个。</w:t>
      </w:r>
      <w:r>
        <w:rPr>
          <w:rFonts w:hint="eastAsia" w:ascii="仿宋_GB2312" w:eastAsia="仿宋_GB2312"/>
          <w:sz w:val="32"/>
          <w:szCs w:val="32"/>
          <w:highlight w:val="none"/>
        </w:rPr>
        <w:t>通过规范的招投标及严格的资金管理及项目管理措施实现了资金的节约。二是效益指标评价：国有林场基础设施条件</w:t>
      </w:r>
      <w:r>
        <w:rPr>
          <w:rFonts w:hint="eastAsia" w:ascii="仿宋_GB2312" w:eastAsia="仿宋_GB2312"/>
          <w:sz w:val="32"/>
          <w:szCs w:val="32"/>
          <w:highlight w:val="none"/>
          <w:lang w:eastAsia="zh-CN"/>
        </w:rPr>
        <w:t>明显</w:t>
      </w:r>
      <w:r>
        <w:rPr>
          <w:rFonts w:hint="eastAsia" w:ascii="仿宋_GB2312" w:eastAsia="仿宋_GB2312"/>
          <w:sz w:val="32"/>
          <w:szCs w:val="32"/>
          <w:highlight w:val="none"/>
        </w:rPr>
        <w:t>改善</w:t>
      </w:r>
      <w:r>
        <w:rPr>
          <w:rFonts w:hint="eastAsia" w:ascii="仿宋_GB2312" w:eastAsia="仿宋_GB2312"/>
          <w:sz w:val="32"/>
          <w:szCs w:val="32"/>
          <w:highlight w:val="none"/>
          <w:lang w:eastAsia="zh-CN"/>
        </w:rPr>
        <w:t>，改善了</w:t>
      </w:r>
      <w:r>
        <w:rPr>
          <w:rFonts w:hint="eastAsia" w:ascii="仿宋_GB2312" w:eastAsia="仿宋_GB2312"/>
          <w:sz w:val="32"/>
          <w:szCs w:val="32"/>
          <w:highlight w:val="none"/>
          <w:lang w:val="en-US" w:eastAsia="zh-CN"/>
        </w:rPr>
        <w:t>56会议100个</w:t>
      </w:r>
      <w:r>
        <w:rPr>
          <w:rFonts w:hint="eastAsia" w:ascii="仿宋_GB2312" w:eastAsia="仿宋_GB2312"/>
          <w:sz w:val="32"/>
          <w:szCs w:val="32"/>
          <w:highlight w:val="none"/>
          <w:lang w:eastAsia="zh-CN"/>
        </w:rPr>
        <w:t>管护员生活工作条件</w:t>
      </w:r>
      <w:r>
        <w:rPr>
          <w:rFonts w:hint="eastAsia" w:ascii="仿宋_GB2312" w:eastAsia="仿宋_GB2312"/>
          <w:sz w:val="32"/>
          <w:szCs w:val="32"/>
          <w:highlight w:val="none"/>
        </w:rPr>
        <w:t>。三是满意度指标评价：根据调查问卷，满意度指标完成</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一是</w:t>
      </w:r>
      <w:r>
        <w:rPr>
          <w:rFonts w:hint="eastAsia" w:ascii="仿宋_GB2312" w:eastAsia="仿宋_GB2312"/>
          <w:sz w:val="32"/>
          <w:szCs w:val="32"/>
          <w:highlight w:val="none"/>
        </w:rPr>
        <w:t>经审计导线架设少了3千米</w:t>
      </w:r>
      <w:r>
        <w:rPr>
          <w:rFonts w:hint="eastAsia" w:ascii="仿宋_GB2312" w:eastAsia="仿宋_GB2312"/>
          <w:sz w:val="32"/>
          <w:szCs w:val="32"/>
          <w:highlight w:val="none"/>
          <w:lang w:eastAsia="zh-CN"/>
        </w:rPr>
        <w:t>；二是管护站电力引入建设单价经过县评审中心评审，确定拦标价，并经过招投标工作，项目完成后经审计核减，成本减少。</w:t>
      </w:r>
      <w:r>
        <w:rPr>
          <w:rFonts w:hint="eastAsia" w:ascii="仿宋_GB2312" w:eastAsia="仿宋_GB2312"/>
          <w:sz w:val="32"/>
          <w:szCs w:val="32"/>
          <w:highlight w:val="none"/>
        </w:rPr>
        <w:t>下一步改进措施：一是加强绩效管理工作的人员业务培训；</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是建立健全规章制度，对绩效管理工作细化、量化，增加可操作性</w:t>
      </w:r>
      <w:r>
        <w:rPr>
          <w:rFonts w:hint="eastAsia" w:ascii="仿宋_GB2312" w:eastAsia="仿宋_GB2312"/>
          <w:sz w:val="32"/>
          <w:szCs w:val="32"/>
          <w:highlight w:val="none"/>
          <w:lang w:eastAsia="zh-CN"/>
        </w:rPr>
        <w:t>；三</w:t>
      </w:r>
      <w:r>
        <w:rPr>
          <w:rFonts w:hint="eastAsia" w:ascii="仿宋_GB2312" w:eastAsia="仿宋_GB2312"/>
          <w:sz w:val="32"/>
          <w:szCs w:val="32"/>
          <w:highlight w:val="none"/>
        </w:rPr>
        <w:t>是制定科学合理的绩效考核机制，进一步细化绩效考核流程，并严格执行绩效考核制度，切忌</w:t>
      </w:r>
      <w:r>
        <w:rPr>
          <w:rFonts w:hint="eastAsia" w:ascii="仿宋_GB2312" w:eastAsia="仿宋_GB2312"/>
          <w:sz w:val="32"/>
          <w:szCs w:val="32"/>
          <w:highlight w:val="none"/>
          <w:lang w:eastAsia="zh-CN"/>
        </w:rPr>
        <w:t>流</w:t>
      </w:r>
      <w:r>
        <w:rPr>
          <w:rFonts w:hint="eastAsia" w:ascii="仿宋_GB2312" w:eastAsia="仿宋_GB2312"/>
          <w:sz w:val="32"/>
          <w:szCs w:val="32"/>
          <w:highlight w:val="none"/>
        </w:rPr>
        <w:t>于形式。具体项目自</w:t>
      </w:r>
      <w:r>
        <w:rPr>
          <w:rFonts w:hint="eastAsia" w:ascii="仿宋_GB2312" w:eastAsia="仿宋_GB2312"/>
          <w:sz w:val="32"/>
          <w:szCs w:val="32"/>
        </w:rPr>
        <w:t>评情况附项目支出绩效自评表。</w:t>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2784"/>
      <w:bookmarkStart w:id="37" w:name="_Toc28903"/>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8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31A2D28"/>
    <w:rsid w:val="06792773"/>
    <w:rsid w:val="0E9C3214"/>
    <w:rsid w:val="1DAF458D"/>
    <w:rsid w:val="1E3D4DDD"/>
    <w:rsid w:val="2A053397"/>
    <w:rsid w:val="2D1136DF"/>
    <w:rsid w:val="2EBC2F78"/>
    <w:rsid w:val="31C63837"/>
    <w:rsid w:val="39D44E2F"/>
    <w:rsid w:val="3D5275AC"/>
    <w:rsid w:val="3F6837E4"/>
    <w:rsid w:val="46901EEE"/>
    <w:rsid w:val="469C74D2"/>
    <w:rsid w:val="46E04A23"/>
    <w:rsid w:val="50DB5F45"/>
    <w:rsid w:val="69AD798C"/>
    <w:rsid w:val="6B68175F"/>
    <w:rsid w:val="7127522C"/>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Administrator</cp:lastModifiedBy>
  <dcterms:modified xsi:type="dcterms:W3CDTF">2021-06-16T03:49:15Z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